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4C" w:rsidRDefault="002C1D4C" w:rsidP="002C1D4C">
      <w:pPr>
        <w:keepNext/>
        <w:keepLines/>
        <w:spacing w:before="240" w:after="0" w:line="360" w:lineRule="auto"/>
        <w:jc w:val="center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0" w:name="_Toc508664143"/>
    </w:p>
    <w:p w:rsidR="002C1D4C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jc w:val="center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r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REGULAMIN OCHRONY </w:t>
      </w:r>
    </w:p>
    <w:p w:rsidR="002C1D4C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jc w:val="center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r>
        <w:rPr>
          <w:rFonts w:ascii="Verdana" w:eastAsiaTheme="majorEastAsia" w:hAnsi="Verdana" w:cs="Arial"/>
          <w:b/>
          <w:sz w:val="20"/>
          <w:szCs w:val="20"/>
          <w:lang w:eastAsia="pl-PL"/>
        </w:rPr>
        <w:t>PRZETWARZANIA DANYCH OSOBOWYCH</w:t>
      </w:r>
    </w:p>
    <w:p w:rsidR="002C1D4C" w:rsidRDefault="002C1D4C" w:rsidP="002C1D4C">
      <w:pPr>
        <w:keepNext/>
        <w:keepLines/>
        <w:spacing w:before="240" w:after="0" w:line="360" w:lineRule="auto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Wprowadzenie</w:t>
      </w:r>
      <w:bookmarkEnd w:id="0"/>
    </w:p>
    <w:p w:rsidR="002C1D4C" w:rsidRPr="00AE1647" w:rsidRDefault="002C1D4C" w:rsidP="002C1D4C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Niniejszy Regulamin stanowi doprecyzowanie zapisów zawartych w dokumentacji ochrony danych osobowych. 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1" w:name="_Toc508664145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Rozdział I – Polityka haseł</w:t>
      </w:r>
      <w:bookmarkEnd w:id="1"/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Hasła użytkowników powinny składać się z minimum </w:t>
      </w: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znaków.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2.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Hasła użytkowników nie mogą być łatwe do odgadnięcia. Nie powinny być powszechnie używanymi słowami. W szczególności nie należy jako haseł wykorzystywać: dat, imion i nazwisk osób bliskich, imion zwierząt, popularnych dat, popularnych słów, typowych zestawów: 123456, qwerty, admin itp.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4.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Hasła użytkowników nie powinny być ujawnianie innym osobom. Nie należy zapisywać haseł na kartkach i w notesach, nie naklejać na monitorze komputera, nie trzymać pod klawiaturą lub w szufladzie.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5.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W przypadku ujawnienia hasła – należy natychmiast zgłosić ten fakt administratorowi systemów informatycznych lub dokonać zmiany.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6.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Hasła muszą być zmieniane co </w:t>
      </w:r>
      <w:r>
        <w:rPr>
          <w:rFonts w:ascii="Verdana" w:eastAsia="Times New Roman" w:hAnsi="Verdana" w:cs="Arial"/>
          <w:sz w:val="20"/>
          <w:szCs w:val="20"/>
          <w:lang w:eastAsia="pl-PL"/>
        </w:rPr>
        <w:t>6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0 dni.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7.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Jeżeli system informatyczny nie wymusza zmiany haseł, użytkownik zobowiązany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jest do samodzielnej zmiany hasła.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9.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Użytkownik zobowiązuje się do zachowania hasła w poufności, nawet po utracie przez nie ważności.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10.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Zabrania się używania w innych miejscach i do celów prywatnych takich samych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lub podobnych haseł jak w systemie informatycznym firmy.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11.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Zabrania się stosowania tego samego hasła jako zabezpieczenia w dostępie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do różnych systemów informatycznych.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2" w:name="_Toc508664146"/>
      <w:r>
        <w:rPr>
          <w:rFonts w:ascii="Verdana" w:eastAsiaTheme="majorEastAsia" w:hAnsi="Verdana" w:cs="Arial"/>
          <w:b/>
          <w:sz w:val="20"/>
          <w:szCs w:val="20"/>
          <w:lang w:eastAsia="pl-PL"/>
        </w:rPr>
        <w:t>Rozdział II</w:t>
      </w:r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 – Procedura pracy</w:t>
      </w:r>
      <w:bookmarkEnd w:id="2"/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Każdy użytkownik systemu informatycznego musi posiadać swój własny indywidualny identyfikator (login) i hasło.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2.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Użytkownik nie może samodzielnie zmieniać swoich uprawnień.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3.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Każdy użytkownik musi posiadać indywidualny identyfikator. Zabronione jest umożliwianie innym osobom pracy na koncie innego użytkownika.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4.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Zabrania się pracy wielu użytkowników na wspólnym koncie.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5.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Użytkownik rozpoczyna pracę z użyciem identyfikatora i hasła.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6.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Użytkownik jest zobowiązany do powiadomienia administratora systemów informatycznych o próbach logowania się do systemu osoby nieupoważnionej,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jeśli system to sygnalizuje.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7.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W przypadku, gdy użytkownik podczas próby zalogowania się zablokuje system, zobowiązany jest powiadomić o tym administratora systemów informatycznych.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8.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Przed czasowym opuszczeniem stanowiska pracy, użytkownik zobowiązany jest zablokować ekran komputera wygaszaczem ekranu, blokadą ekranu lub wylogować się z systemu.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9.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Po zakończeniu pracy, użytkownik zobowiązany jest:</w:t>
      </w:r>
    </w:p>
    <w:p w:rsidR="002C1D4C" w:rsidRPr="00AE1647" w:rsidRDefault="002C1D4C" w:rsidP="002C1D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wylogować się z systemu informatycznego, a następnie wyłączyć sprzęt komputerowy,</w:t>
      </w:r>
    </w:p>
    <w:p w:rsidR="002C1D4C" w:rsidRPr="00AE1647" w:rsidRDefault="002C1D4C" w:rsidP="002C1D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zabezpieczyć stanowisko pracy, w szczególności wszelką dokumentację oraz nośniki magnetyczne i optyczne, na których znajdują się dane osobowe,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3" w:name="_Toc508664147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Rozdział </w:t>
      </w:r>
      <w:r>
        <w:rPr>
          <w:rFonts w:ascii="Verdana" w:eastAsiaTheme="majorEastAsia" w:hAnsi="Verdana" w:cs="Arial"/>
          <w:b/>
          <w:sz w:val="20"/>
          <w:szCs w:val="20"/>
          <w:lang w:eastAsia="pl-PL"/>
        </w:rPr>
        <w:t>III</w:t>
      </w:r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 – Użytkowanie systemu informatycznego</w:t>
      </w:r>
      <w:bookmarkEnd w:id="3"/>
    </w:p>
    <w:p w:rsidR="002C1D4C" w:rsidRPr="00AE1647" w:rsidRDefault="002C1D4C" w:rsidP="002C1D4C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Sprzęt informatyczny służący do przetwarzania danych osobowych składa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się w szczególności z:</w:t>
      </w:r>
    </w:p>
    <w:p w:rsidR="002C1D4C" w:rsidRPr="00AE1647" w:rsidRDefault="002C1D4C" w:rsidP="002C1D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komputerów stacjonarnych,</w:t>
      </w:r>
    </w:p>
    <w:p w:rsidR="002C1D4C" w:rsidRPr="00AE1647" w:rsidRDefault="002C1D4C" w:rsidP="002C1D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przenośnych,</w:t>
      </w:r>
    </w:p>
    <w:p w:rsidR="002C1D4C" w:rsidRPr="00AE1647" w:rsidRDefault="002C1D4C" w:rsidP="002C1D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telefonów komórkowych (smartfonów)</w:t>
      </w:r>
    </w:p>
    <w:p w:rsidR="002C1D4C" w:rsidRPr="00AE1647" w:rsidRDefault="002C1D4C" w:rsidP="002C1D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sprzętu sieciowego,</w:t>
      </w:r>
    </w:p>
    <w:p w:rsidR="002C1D4C" w:rsidRPr="00AE1647" w:rsidRDefault="002C1D4C" w:rsidP="002C1D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sprzętu drukującego,</w:t>
      </w:r>
    </w:p>
    <w:p w:rsidR="002C1D4C" w:rsidRPr="00AE1647" w:rsidRDefault="002C1D4C" w:rsidP="002C1D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nośników danych,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2.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Osoba korzystająca z systemu informatycznego:</w:t>
      </w:r>
    </w:p>
    <w:p w:rsidR="002C1D4C" w:rsidRPr="00AE1647" w:rsidRDefault="002C1D4C" w:rsidP="002C1D4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jest zobowiązana do użytku sprzętu w sposób zgodny z jego przeznaczeniem oraz do ochrony sprzętu przed zniszczeniem, utratą lub uszkodzeniem,</w:t>
      </w:r>
    </w:p>
    <w:p w:rsidR="002C1D4C" w:rsidRPr="00AE1647" w:rsidRDefault="002C1D4C" w:rsidP="002C1D4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jest zobowiązana do informowania administratora tego systemu o każdej sytuacji zniszczenia, utraty lub uszkodzenia powierzonego sprzętu,</w:t>
      </w:r>
    </w:p>
    <w:p w:rsidR="002C1D4C" w:rsidRPr="00AE1647" w:rsidRDefault="002C1D4C" w:rsidP="002C1D4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nie może instalować samowolnie żadnego oprogramowania w systemie informatycznym, ani próbować złamać lub uzyskać uprawnienia administracyjne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tym systemie,</w:t>
      </w:r>
    </w:p>
    <w:p w:rsidR="002C1D4C" w:rsidRPr="00AE1647" w:rsidRDefault="002C1D4C" w:rsidP="002C1D4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nie może samowolnie otwierać (demontować) sprzętu, instalować dodatkowych urządzeń (np. twardych dysków, pamięci) lub podłączać jakichkolwiek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niezatwierdzonych urządzeń do systemu informatycznego (w tym prywatnych urządzeń, nawet jedynie w celu ładowania baterii tych urządzeń),</w:t>
      </w:r>
    </w:p>
    <w:p w:rsidR="002C1D4C" w:rsidRPr="00AE1647" w:rsidRDefault="002C1D4C" w:rsidP="002C1D4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jest zobowiązana do usuwania plików z nośników/dysków do których mają dostęp inni użytkownicy nieupoważnieni do dostępu do takich plików,</w:t>
      </w:r>
    </w:p>
    <w:p w:rsidR="002C1D4C" w:rsidRPr="00AE1647" w:rsidRDefault="002C1D4C" w:rsidP="002C1D4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nie może samodzielnie podłączać jakichkolwiek urządzeń do portów komputera,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w szczególności portów USB,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4" w:name="_Toc508664148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Rozdział </w:t>
      </w:r>
      <w:r>
        <w:rPr>
          <w:rFonts w:ascii="Verdana" w:eastAsiaTheme="majorEastAsia" w:hAnsi="Verdana" w:cs="Arial"/>
          <w:b/>
          <w:sz w:val="20"/>
          <w:szCs w:val="20"/>
          <w:lang w:eastAsia="pl-PL"/>
        </w:rPr>
        <w:t>I</w:t>
      </w:r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V – Polityka czystego ekranu</w:t>
      </w:r>
      <w:bookmarkEnd w:id="4"/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Osoba korzystająca z systemu informatycznego jest zobowiązana do zachowania polityki czystego ekranu, tj. zapewnienia, by osoby nieupoważnione nie miały wglądu w treści wyświetlane na monitorach ekranowych lub ekranach komputerów.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2.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Osoba korzystająca z systemu informatycznego jest zobowiązana do manualnego uruchamiania wygaszacza ekranu chronionego hasłem w każdej sytuacji, gdy pozostawia system informatyczny bez nadzoru.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3.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Zabronione jest gromadzenie danych osobowych w postaci tzw. zrzutów ekranów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 systemu informatycznego, jak i wysyłanie takich informacji bez zgody administratora tego systemu.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4.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Osoby korzystające z systemu informatycznego powinny zwracać szczególną uwagę na:</w:t>
      </w:r>
    </w:p>
    <w:p w:rsidR="002C1D4C" w:rsidRPr="00AE1647" w:rsidRDefault="002C1D4C" w:rsidP="002C1D4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ustawienie monitorów lub ekranów komputerów w obszarze przetwarzania względem okien (w przypadku blisko siebie sąsiadujących budynków) oraz drzwi wejściowych, przez które mogą wejść osoby nieupoważnione,</w:t>
      </w:r>
    </w:p>
    <w:p w:rsidR="002C1D4C" w:rsidRPr="00AE1647" w:rsidRDefault="002C1D4C" w:rsidP="002C1D4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uruchamianie komputerów przenośnych poza obszarem przetwarzania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miejscach publicznie dostępnych (np. lotniska, dworce, sale konferencyjne, itp.),</w:t>
      </w:r>
    </w:p>
    <w:p w:rsidR="002C1D4C" w:rsidRPr="00AE1647" w:rsidRDefault="002C1D4C" w:rsidP="002C1D4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osoby nieupoważnione pozostające w obszarze przetwarzania danych bez nadzoru osób upoważnionych,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5" w:name="_Toc508664149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Rozdział V – Polityka czystego biurka i czystego druku</w:t>
      </w:r>
      <w:bookmarkEnd w:id="5"/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Osoba przetwarzająca dane osobowe jest zobowiązana do zachowania polityki czystego biurka, tj. zapewnienia by po zakończeniu pracy wszelkie dane osobowe zarówno w wersji papierowej, jak i na elektronicznych nośnikach znajdowały się poza zasięgiem wzroku i dłoni.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2.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Osoba przetwarzająca dane osobowe jest zobowiązana do stosowania wszelkich zabezpieczeń danych udostępnionych przez administratora danych, tj. jeżeli pomieszczenie jest zaopatrzone w meble zamykane na klucz, to należy zamykać szafy przed zakończeniem pracy, a klucze umieszczać w bezpiecznym miejscu.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3.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Ostatnia osoba opuszczająca obszar przetwarzania jest zobowiązana do sprawdzenia, czy wszystkie okna są zamknięte (ryzyko zalania pomieszczeń lub włamania) oraz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czy wszelkie inne zabezpieczenia są uruchomione.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4.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Niedozwolone jest pozostawianie wydruków zawierających dane osobowe w pobliżu urządzeń drukujących bez nadzoru. Dokumenty błędnie wydrukowane należy niezwłocznie zniszczyć z wykorzystaniem niszczar</w:t>
      </w:r>
      <w:r>
        <w:rPr>
          <w:rFonts w:ascii="Verdana" w:eastAsia="Times New Roman" w:hAnsi="Verdana" w:cs="Arial"/>
          <w:sz w:val="20"/>
          <w:szCs w:val="20"/>
          <w:lang w:eastAsia="pl-PL"/>
        </w:rPr>
        <w:t>ek lub pojemników do utylizacji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5.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Przewożenie poza obszarem przetwarzania wersji papierowej danych osobowych musi odbywać się w sposób zapewniający ich poufność, tj. dokumenty muszą być zakryte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i zabezpieczone przed przypadkową utratą.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6" w:name="_Toc508664150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Rozdział VI – Udostępnianie danych osobowych</w:t>
      </w:r>
      <w:bookmarkEnd w:id="6"/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Osoba przetwarzająca dane osobowe może udostępniać dane osobowe drogą telefoniczną jedynie wtedy, gdy ma pewność co do tożsamości swojego rozmówcy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(w razie wątpliwości należy weryfikować tożsamość np. poprzez żądanie podania fragmentu informacji znanej tylko osobie właściwej).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2.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Dane osobowe można udostępnić tylko osobie, której dane dotyczą, lub innej osobie za jej zgodą przechowywaną w celach dowodowych przy zachowaniu procedury przewidzianej w ust. 1 powyżej.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3.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Udostępniając dane osobowe w miejscach publicznie dostępnych, należy zagwarantować poufność danych. Jeżeli ustne przekazanie danych nie gwarantuje poufności, należy skorzystać z udostępnienia w wersji pisemnej (do wglądu).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4.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Należy zwracać uwagę na sytuacje mogące stanowić ryzyko ujawnienia danych osobowych lub informacji o stosowanych zabezpieczeniach osobie nieupoważnionej, takie jak:</w:t>
      </w:r>
    </w:p>
    <w:p w:rsidR="002C1D4C" w:rsidRPr="00AE1647" w:rsidRDefault="002C1D4C" w:rsidP="002C1D4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żądanie udostępnienia danych przez osoby podszywające się (kradzież tożsamości),</w:t>
      </w:r>
    </w:p>
    <w:p w:rsidR="002C1D4C" w:rsidRPr="00AE1647" w:rsidRDefault="002C1D4C" w:rsidP="002C1D4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żądanie udostępnienia informacji o stosowanych zabezpieczeniach, w tym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szczególności udostępnienia obecnych, jak i poprzednio stosowanych haseł dostępowych do systemów informatycznych (socjotechnika telefoniczna),</w:t>
      </w:r>
    </w:p>
    <w:p w:rsidR="002C1D4C" w:rsidRPr="00AE1647" w:rsidRDefault="002C1D4C" w:rsidP="002C1D4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wszelkie inne nieuzasadnione i podejrzane żądania udostępnienia informacji,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szczególności drogą telefoniczną.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7" w:name="_Toc508664151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Rozdział VII – Korzystanie z dostępu do Internetu</w:t>
      </w:r>
      <w:bookmarkEnd w:id="7"/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1.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Osoby przetwarzające dane są uprawnione do korzystania z dostępu do sieci Internet jedynie w celu wykonywania obowiązków służbowych.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2.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Podczas korzystania z Internetu osoby przetwarzające dane są zobowiązane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do przestrzegania przepisów prawa dotyczących ochrony własności intelektualnej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oraz ochrony prawa autorskiego i praw pokrewnych.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3.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Korzystanie z sieci Internet przez osoby przetwarzające dane w celu przeglądania treści o charakterze obraźliwym, niemoralnym lub niestosownym wobec powszechnie obowiązujących zasad postępowania, jak również używanie internetowych gier komputerowych lub gier znajdujących się w systemie informatycznym jest niedozwolone.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4.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W zakresie dozwolonym powszechnie obowiązującymi przepisami prawa, administrator danych zastrzega sobie prawo do kontrolowania sposobu korzystania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z sieci Internet przez osoby przetwarzające dane. Kontrola ma na celu sprawdzenie przestrzegania zasad bezpieczeństwa w sferze przetwarzania danych osobowych.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5.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Zabrania się pobierania na dysk twardy komputera oraz instalowania i uruchamia jakichkolwiek plików programów.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6.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Użytkownik ponosi odpowiedzialność za szkody spowodowane przez oprogramowanie instalowane z Internetu.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7.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>Nie należy w opcjach przeglądarki internetowej włączać opcji autouzupełniania formularzy i zapamiętywania haseł.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8.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W przypadku korzystania z szyfrowanego połączenia przez przeglądarkę, należy zwracać uwagę na bezpieczne połączenie oraz adresu www rozpoczynającego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się od https.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b/>
          <w:sz w:val="20"/>
          <w:szCs w:val="20"/>
          <w:lang w:eastAsia="pl-PL"/>
        </w:rPr>
        <w:t>9.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Należy zachować szczególną ostrożność w przypadku podejrzanego żądania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lub prośby zalogowania się na stronę (np. na stronę banku, portalu społecznościowego, e-sklepu, poczty mailowej) lub podania naszych loginów i haseł, PIN-ów, numerów kart płatniczych przez Internet. 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8" w:name="_Toc508664152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Rozdział </w:t>
      </w:r>
      <w:r>
        <w:rPr>
          <w:rFonts w:ascii="Verdana" w:eastAsiaTheme="majorEastAsia" w:hAnsi="Verdana" w:cs="Arial"/>
          <w:b/>
          <w:sz w:val="20"/>
          <w:szCs w:val="20"/>
          <w:lang w:eastAsia="pl-PL"/>
        </w:rPr>
        <w:t>VIII</w:t>
      </w:r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 – Korzystanie z poczty elektronicznej</w:t>
      </w:r>
      <w:bookmarkEnd w:id="8"/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Poczta elektroniczna jest przeznaczona wyłącznie do wykonywania obowiązków służbowych.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Podczas korzystania z poczty elektronicznej osoby przetwarzające dane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są zobowiązane do przestrzegania przepisów prawa dotyczących ochrony własności intelektualnej oraz ochrony prawa autorskiego i praw pokrewnych.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Wysyłanie wiadomości zawierających informacje określone jako poufne, dotyczące administratora danych, jego pracowników, klientów, dostawców lub kontrahentów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 pośrednictwem sieci internet, w tym przy użyciu prywatnej elektronicznej skrzynki pocztowej, przez osoby przetwarzające dane jest niedozwolone.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Osoby przetwarzające dane nie powinny otwierać wiadomości przesłanych drogą elektroniczną od nieznanych sobie nadawców, w szczególności, gdy tytuł wskazuje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na istnienie związku z obowiązkami służbowymi.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Użytkownicy nie powinni uruchamiać wykonywalnych załączników dołączonych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do wiadomości przesyłanych pocztą elektroniczną.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W przypadku przesyłania plików zawierających dane osobowe do podmiotów zewnętrznych, osoba przetwarzająca dane zobowiązana jest do ich spakowania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i opatrzenia hasłem. Hasło należy przesłać odrębnym środkiem komunikacji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(np. SMS).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Użytkownicy powinni zwracać szczególną uwagę na poprawność adresu odbiorcy dokumentu.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Zaleca się, aby użytkownik podczas przesyłania danych osobowych mailem zawarł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w treści prośbę o potwierdzenie otrzymania i zapoznania się z informacją przez adresata.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Podczas wysyłania wiadomości email do wielu adresatów jednocześnie, należy użyć  metody: ukryte do wiadomości – UDW. Zabronione jest przesyłanie wiadomości email do wielu adresatów z użyciem metody: do wiadomości – DW.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Zabronione jest przesyłanie korespondencji służbowej na prywatne skrzynki pocztowe użytkownika lub innych osób.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Zabroniona jest zmiana konfiguracji poczty lub programu pocztowego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do automatycznego przekierowywania wiadomości email na adres zewnętrzny.</w:t>
      </w:r>
    </w:p>
    <w:p w:rsidR="002C1D4C" w:rsidRPr="00AE1647" w:rsidRDefault="002C1D4C" w:rsidP="002C1D4C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Zabronione jest  wysyłanie wiadomości zawierających dane osobowe lub inne informacje firmowe za pośrednictwem prywatnej poczty email.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9" w:name="_Toc508664153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 xml:space="preserve">Rozdział </w:t>
      </w:r>
      <w:r>
        <w:rPr>
          <w:rFonts w:ascii="Verdana" w:eastAsiaTheme="majorEastAsia" w:hAnsi="Verdana" w:cs="Arial"/>
          <w:b/>
          <w:sz w:val="20"/>
          <w:szCs w:val="20"/>
          <w:lang w:eastAsia="pl-PL"/>
        </w:rPr>
        <w:t>I</w:t>
      </w:r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X – Aktualizacja oprogramowania</w:t>
      </w:r>
      <w:bookmarkEnd w:id="9"/>
    </w:p>
    <w:p w:rsidR="002C1D4C" w:rsidRPr="00AE1647" w:rsidRDefault="002C1D4C" w:rsidP="002C1D4C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Użytkownicy zobowiązani są do niezwłocznego poinformowania administratora systemów informatycznych o każdym przypadku powiadomienia o konieczności aktualizacji oprogramowania.</w:t>
      </w:r>
    </w:p>
    <w:p w:rsidR="002C1D4C" w:rsidRPr="00AE1647" w:rsidRDefault="002C1D4C" w:rsidP="002C1D4C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Użytkownicy zobowiązani są do skanowania plików wprowadzanych z zewnętrznych nośników programem antywirusowym, jeśli system antywirusowy taką funkcje posiada.</w:t>
      </w:r>
    </w:p>
    <w:p w:rsidR="002C1D4C" w:rsidRPr="00AE1647" w:rsidRDefault="002C1D4C" w:rsidP="002C1D4C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Zabronione jest wyłączanie oprogramowania antywirusowego lub zapory w systemie informatycznym.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10" w:name="_Toc508664154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Rozdział X – Elektroniczne nośniki danych</w:t>
      </w:r>
      <w:bookmarkEnd w:id="10"/>
    </w:p>
    <w:p w:rsidR="002C1D4C" w:rsidRPr="00AE1647" w:rsidRDefault="002C1D4C" w:rsidP="002C1D4C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Elektroniczne nośniki danych to np. wymienne twarde dyski, pendrive, płyty CD, DVD, Blue-Ray pamięć typu Flash.</w:t>
      </w:r>
    </w:p>
    <w:p w:rsidR="002C1D4C" w:rsidRPr="00AE1647" w:rsidRDefault="002C1D4C" w:rsidP="002C1D4C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Osoby przetwarzające dane nie mogą wynosić poza obszar przetwarzania wymiennych elektronicznych nośników informacji z zapisanymi danymi osobowymi bez zgody administratora danych.</w:t>
      </w:r>
    </w:p>
    <w:p w:rsidR="002C1D4C" w:rsidRPr="00AE1647" w:rsidRDefault="002C1D4C" w:rsidP="002C1D4C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Dane osobowe wynoszone na nośnikach elektronicznych poza obszar przetwarzania muszą być zaszyfrowane, pliki powinny być zabezpieczone hasłem.</w:t>
      </w:r>
    </w:p>
    <w:p w:rsidR="002C1D4C" w:rsidRDefault="002C1D4C" w:rsidP="002C1D4C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przypadku uszkodzenia lub zużycia nośnika zawierającego dane osobowe należy fizycznie zniszczyć nośnik przez spalenie lub rozdrobnienie.</w:t>
      </w:r>
    </w:p>
    <w:p w:rsidR="002C1D4C" w:rsidRDefault="002C1D4C" w:rsidP="002C1D4C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Należy zapewnić bezpieczne przewożenie dokumentacji papierowej w plecakach, teczkach.</w:t>
      </w:r>
    </w:p>
    <w:p w:rsidR="002C1D4C" w:rsidRDefault="002C1D4C" w:rsidP="002C1D4C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przypadku, gdy dokumentację papierową lub nośniki elektroniczne przewozi pracownik, zobowiązany jest do zabezpieczenia przewożonych dokumentów przed zagubieniem i kradzieżą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2C1D4C" w:rsidRPr="00AE1647" w:rsidRDefault="002C1D4C" w:rsidP="002C1D4C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przypadku konieczności wysyłki dokumentacji papierowej lub nośników elektronicznych należy korzystać ze sprawdzonych firm kurierskich.</w:t>
      </w: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11" w:name="_Toc508664155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Rozdział XI – Instrukcja alarmowa</w:t>
      </w:r>
      <w:bookmarkEnd w:id="11"/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Osoba przetwarzająca dane zobowiązana jest do powiadomienia admi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nistratora danych w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przypadku stwierdzenia lub podejrzenia naruszenia ochrony danych osobowych, w szczególności gdy: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ślady na drzwiach, oknach i szafach wskazują na próbę włamania,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dokumentacja jest niszczona bez użycia niszczarki,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drzwi do pomieszczeń, szaf, gdzie przechowywane są dane osobowe, pozostają otwarte,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ustawienie monitorów pozwala na wgląd osób nieupoważnionych,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ma miejsce nieautoryzowane wynoszenie danych osobowych w wersji papierowej i/lub elektronicznej poza obszar przetwarzania,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występują telefoniczne próby wyłudzenia danych osobowych,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nastąpiła kradzież komputerów lub elektronicznych nośników danych,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pojawia się zagrożenie notyfikowane przez program antywirusowy,</w:t>
      </w:r>
    </w:p>
    <w:p w:rsidR="002C1D4C" w:rsidRPr="00AE1647" w:rsidRDefault="002C1D4C" w:rsidP="002C1D4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hasła do systemów przechowywane są w pobliżu komputera. </w:t>
      </w:r>
    </w:p>
    <w:p w:rsidR="002C1D4C" w:rsidRPr="00AE1647" w:rsidRDefault="002C1D4C" w:rsidP="002C1D4C">
      <w:pPr>
        <w:spacing w:after="0" w:line="360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2C1D4C" w:rsidRPr="00AE1647" w:rsidRDefault="002C1D4C" w:rsidP="002C1D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357" w:hanging="357"/>
        <w:jc w:val="both"/>
        <w:outlineLvl w:val="0"/>
        <w:rPr>
          <w:rFonts w:ascii="Verdana" w:eastAsiaTheme="majorEastAsia" w:hAnsi="Verdana" w:cs="Arial"/>
          <w:b/>
          <w:sz w:val="20"/>
          <w:szCs w:val="20"/>
          <w:lang w:eastAsia="pl-PL"/>
        </w:rPr>
      </w:pPr>
      <w:bookmarkStart w:id="12" w:name="_Toc508664156"/>
      <w:r w:rsidRPr="00AE1647">
        <w:rPr>
          <w:rFonts w:ascii="Verdana" w:eastAsiaTheme="majorEastAsia" w:hAnsi="Verdana" w:cs="Arial"/>
          <w:b/>
          <w:sz w:val="20"/>
          <w:szCs w:val="20"/>
          <w:lang w:eastAsia="pl-PL"/>
        </w:rPr>
        <w:t>Rozdział XII – Zachowanie poufności</w:t>
      </w:r>
      <w:bookmarkEnd w:id="12"/>
    </w:p>
    <w:p w:rsidR="002C1D4C" w:rsidRPr="00AE1647" w:rsidRDefault="002C1D4C" w:rsidP="002C1D4C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Każda z osób dopuszczona do przetwarzania danych osobowych jest zobowiązana do:</w:t>
      </w:r>
    </w:p>
    <w:p w:rsidR="002C1D4C" w:rsidRPr="00AE1647" w:rsidRDefault="002C1D4C" w:rsidP="002C1D4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przetwarzania danych osobowych wyłącznie w zakresie i celu określonym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w upoważnieniu,</w:t>
      </w:r>
    </w:p>
    <w:p w:rsidR="002C1D4C" w:rsidRPr="00AE1647" w:rsidRDefault="002C1D4C" w:rsidP="002C1D4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zachowania w tajemnicy danych osobowych do których ma dostęp w związku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 wykonywaniem zadań,</w:t>
      </w:r>
    </w:p>
    <w:p w:rsidR="002C1D4C" w:rsidRPr="00AE1647" w:rsidRDefault="002C1D4C" w:rsidP="002C1D4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niewykorzystywania danych osobowych w celach niezgodnych z zakresem i celem określonym w upoważnieniu,</w:t>
      </w:r>
    </w:p>
    <w:p w:rsidR="002C1D4C" w:rsidRPr="00AE1647" w:rsidRDefault="002C1D4C" w:rsidP="002C1D4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zachowania w tajemnicy sposobów zabezpieczenia danych osobowych i systemów informatycznych,</w:t>
      </w:r>
    </w:p>
    <w:p w:rsidR="002C1D4C" w:rsidRPr="00AE1647" w:rsidRDefault="002C1D4C" w:rsidP="002C1D4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:rsidR="002C1D4C" w:rsidRPr="00AE1647" w:rsidRDefault="002C1D4C" w:rsidP="002C1D4C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Jeśli jest to przewidziane, osoba dopuszczona do przetwarzania odbywa szkolenie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z zasad ochrony danych osobowych. </w:t>
      </w:r>
    </w:p>
    <w:p w:rsidR="002C1D4C" w:rsidRPr="00AE1647" w:rsidRDefault="002C1D4C" w:rsidP="002C1D4C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Zabrania się przekazywania lub ujawniania danych osobowych osobom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lub instytucjom, które nie mogą wykazać się jasną podstawą prawną do dostępu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do takich danych.</w:t>
      </w:r>
    </w:p>
    <w:p w:rsidR="002C1D4C" w:rsidRPr="00AE1647" w:rsidRDefault="002C1D4C" w:rsidP="002C1D4C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Zabrania się ujawniania na grupach dyskusyjnych, forach internetowych, blogach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 xml:space="preserve"> itp. jakichkolwiek szczegółów dotyczących funkcjonowania firmy, w tym informacji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 w:rsidRPr="00AE1647">
        <w:rPr>
          <w:rFonts w:ascii="Verdana" w:eastAsia="Times New Roman" w:hAnsi="Verdana" w:cs="Arial"/>
          <w:sz w:val="20"/>
          <w:szCs w:val="20"/>
          <w:lang w:eastAsia="pl-PL"/>
        </w:rPr>
        <w:t>na temat sprzętu i oprogramowania, z jakiego korzysta firma, oraz informacji kontaktowych innych, niż ogólnodostępne w materiałach zewnętrznych.</w:t>
      </w:r>
    </w:p>
    <w:p w:rsidR="002C1D4C" w:rsidRPr="00AE1647" w:rsidRDefault="002C1D4C" w:rsidP="002C1D4C">
      <w:pPr>
        <w:rPr>
          <w:rFonts w:ascii="Verdana" w:hAnsi="Verdana"/>
          <w:sz w:val="20"/>
          <w:szCs w:val="20"/>
        </w:rPr>
      </w:pPr>
    </w:p>
    <w:p w:rsidR="002C1D4C" w:rsidRDefault="002C1D4C" w:rsidP="002C1D4C"/>
    <w:p w:rsidR="001F6C6D" w:rsidRDefault="002C1D4C">
      <w:bookmarkStart w:id="13" w:name="_GoBack"/>
      <w:bookmarkEnd w:id="13"/>
    </w:p>
    <w:sectPr w:rsidR="001F6C6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20"/>
        <w:szCs w:val="20"/>
      </w:rPr>
      <w:id w:val="-422178633"/>
      <w:docPartObj>
        <w:docPartGallery w:val="Page Numbers (Bottom of Page)"/>
        <w:docPartUnique/>
      </w:docPartObj>
    </w:sdtPr>
    <w:sdtEndPr/>
    <w:sdtContent>
      <w:p w:rsidR="00AE1647" w:rsidRPr="00AE1647" w:rsidRDefault="002C1D4C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AE1647">
          <w:rPr>
            <w:rFonts w:ascii="Verdana" w:hAnsi="Verdana"/>
            <w:sz w:val="20"/>
            <w:szCs w:val="20"/>
          </w:rPr>
          <w:t xml:space="preserve">STRONA </w:t>
        </w:r>
        <w:r w:rsidRPr="00AE1647">
          <w:rPr>
            <w:rFonts w:ascii="Verdana" w:hAnsi="Verdana"/>
            <w:sz w:val="20"/>
            <w:szCs w:val="20"/>
          </w:rPr>
          <w:fldChar w:fldCharType="begin"/>
        </w:r>
        <w:r w:rsidRPr="00AE1647">
          <w:rPr>
            <w:rFonts w:ascii="Verdana" w:hAnsi="Verdana"/>
            <w:sz w:val="20"/>
            <w:szCs w:val="20"/>
          </w:rPr>
          <w:instrText>PAGE   \* MERGEFORMAT</w:instrText>
        </w:r>
        <w:r w:rsidRPr="00AE1647">
          <w:rPr>
            <w:rFonts w:ascii="Verdana" w:hAnsi="Verdana"/>
            <w:sz w:val="20"/>
            <w:szCs w:val="20"/>
          </w:rPr>
          <w:fldChar w:fldCharType="separate"/>
        </w:r>
        <w:r>
          <w:rPr>
            <w:rFonts w:ascii="Verdana" w:hAnsi="Verdana"/>
            <w:noProof/>
            <w:sz w:val="20"/>
            <w:szCs w:val="20"/>
          </w:rPr>
          <w:t>1</w:t>
        </w:r>
        <w:r w:rsidRPr="00AE1647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AE1647" w:rsidRDefault="002C1D4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A7D"/>
    <w:multiLevelType w:val="hybridMultilevel"/>
    <w:tmpl w:val="698C8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975"/>
    <w:multiLevelType w:val="hybridMultilevel"/>
    <w:tmpl w:val="C78E4AF6"/>
    <w:lvl w:ilvl="0" w:tplc="3C1C7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907"/>
    <w:multiLevelType w:val="hybridMultilevel"/>
    <w:tmpl w:val="9A3EA698"/>
    <w:lvl w:ilvl="0" w:tplc="84787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1351"/>
    <w:multiLevelType w:val="hybridMultilevel"/>
    <w:tmpl w:val="7EE6E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F7DBA"/>
    <w:multiLevelType w:val="hybridMultilevel"/>
    <w:tmpl w:val="3F6C7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87527"/>
    <w:multiLevelType w:val="hybridMultilevel"/>
    <w:tmpl w:val="703E8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04368"/>
    <w:multiLevelType w:val="hybridMultilevel"/>
    <w:tmpl w:val="42C01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C4DF2"/>
    <w:multiLevelType w:val="hybridMultilevel"/>
    <w:tmpl w:val="39FE12DE"/>
    <w:lvl w:ilvl="0" w:tplc="26EA2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7164D"/>
    <w:multiLevelType w:val="hybridMultilevel"/>
    <w:tmpl w:val="5D2CF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9582C"/>
    <w:multiLevelType w:val="hybridMultilevel"/>
    <w:tmpl w:val="8508E676"/>
    <w:lvl w:ilvl="0" w:tplc="CAA0E6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01A62"/>
    <w:multiLevelType w:val="hybridMultilevel"/>
    <w:tmpl w:val="234ECF6C"/>
    <w:lvl w:ilvl="0" w:tplc="D6A897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C87358"/>
    <w:multiLevelType w:val="hybridMultilevel"/>
    <w:tmpl w:val="5882D8C0"/>
    <w:lvl w:ilvl="0" w:tplc="E1D8DF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4C"/>
    <w:rsid w:val="002C1D4C"/>
    <w:rsid w:val="008C40E3"/>
    <w:rsid w:val="00D90481"/>
    <w:rsid w:val="00EA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13263</Characters>
  <Application>Microsoft Office Word</Application>
  <DocSecurity>0</DocSecurity>
  <Lines>110</Lines>
  <Paragraphs>30</Paragraphs>
  <ScaleCrop>false</ScaleCrop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Patryk</cp:lastModifiedBy>
  <cp:revision>1</cp:revision>
  <dcterms:created xsi:type="dcterms:W3CDTF">2018-06-19T08:20:00Z</dcterms:created>
  <dcterms:modified xsi:type="dcterms:W3CDTF">2018-06-19T08:20:00Z</dcterms:modified>
</cp:coreProperties>
</file>